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-890905</wp:posOffset>
            </wp:positionV>
            <wp:extent cx="5328285" cy="7513320"/>
            <wp:effectExtent l="0" t="0" r="5715" b="0"/>
            <wp:wrapSquare wrapText="bothSides"/>
            <wp:docPr id="2" name="图片 2" descr="E:\产品图片及源文件\河南潜合\PSD源文件\说明书\一体式\在线\一体式在线控制仪说明书定稿1.jpg一体式在线控制仪说明书定稿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产品图片及源文件\河南潜合\PSD源文件\说明书\一体式\在线\一体式在线控制仪说明书定稿1.jpg一体式在线控制仪说明书定稿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4"/>
          <w:szCs w:val="24"/>
          <w:lang w:eastAsia="zh-CN"/>
        </w:rPr>
        <w:sectPr>
          <w:headerReference r:id="rId3" w:type="default"/>
          <w:pgSz w:w="8392" w:h="11850"/>
          <w:pgMar w:top="1440" w:right="892" w:bottom="1440" w:left="78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8"/>
          <w:szCs w:val="28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4"/>
          <w:szCs w:val="24"/>
          <w:lang w:eastAsia="zh-CN"/>
        </w:rPr>
        <w:t>一、型号意义</w:t>
      </w:r>
      <w:r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8"/>
          <w:szCs w:val="28"/>
          <w:lang w:eastAsia="zh-CN"/>
        </w:rPr>
        <w:t> 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drawing>
          <wp:inline distT="0" distB="0" distL="114300" distR="114300">
            <wp:extent cx="1959610" cy="415925"/>
            <wp:effectExtent l="0" t="0" r="6350" b="10795"/>
            <wp:docPr id="6" name="图片 6" descr="E:\杨倩\公司资料\说明书\QHK-ZX-12D说明书Word版\型号意义改.jpg型号意义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杨倩\公司资料\说明书\QHK-ZX-12D说明书Word版\型号意义改.jpg型号意义改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20"/>
        <w:gridCol w:w="4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控制类型</w:t>
            </w:r>
          </w:p>
        </w:tc>
        <w:tc>
          <w:tcPr>
            <w:tcW w:w="4571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除尘控制器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控制方式</w:t>
            </w:r>
          </w:p>
        </w:tc>
        <w:tc>
          <w:tcPr>
            <w:tcW w:w="4571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Z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 w:eastAsiaTheme="minorEastAsia"/>
                <w:vertAlign w:val="baseline"/>
                <w:lang w:eastAsia="zh-CN"/>
              </w:rPr>
              <w:t>：在线式控制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输出路数</w:t>
            </w:r>
          </w:p>
        </w:tc>
        <w:tc>
          <w:tcPr>
            <w:tcW w:w="457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12：12路，20：20路，30：30路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输出电压</w:t>
            </w:r>
          </w:p>
        </w:tc>
        <w:tc>
          <w:tcPr>
            <w:tcW w:w="457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D：输出电压 DC 24V</w:t>
            </w:r>
          </w:p>
        </w:tc>
      </w:tr>
    </w:tbl>
    <w:p>
      <w:pPr>
        <w:numPr>
          <w:ilvl w:val="0"/>
          <w:numId w:val="1"/>
        </w:numPr>
        <w:ind w:leftChars="0"/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4"/>
          <w:szCs w:val="24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b w:val="0"/>
          <w:bCs w:val="0"/>
          <w:color w:val="00B050"/>
          <w:sz w:val="24"/>
          <w:szCs w:val="24"/>
          <w:lang w:eastAsia="zh-CN"/>
        </w:rPr>
        <w:t>参数设置说明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1.按下“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”键进入参数选择状态，并且发光二级管指示当前修改项；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2.转动“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”旋钮修改参数值，顺时针旋转为参数值增加，反之则为参数值减少；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3.任何时候，按下“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”键，控制仪即可进入参数修改状态；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4.按下“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”键跳到运行指示灯亮起时，参数设置完成并自动保存，控制仪开始按设定参数自动清灰。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87"/>
        <w:gridCol w:w="1387"/>
        <w:gridCol w:w="1387"/>
        <w:gridCol w:w="138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参数意义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默认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设置范围</w:t>
            </w:r>
          </w:p>
        </w:tc>
        <w:tc>
          <w:tcPr>
            <w:tcW w:w="13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脉冲宽度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0.01-99.99</w:t>
            </w:r>
          </w:p>
        </w:tc>
        <w:tc>
          <w:tcPr>
            <w:tcW w:w="13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脉冲间隔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1-9999</w:t>
            </w:r>
          </w:p>
        </w:tc>
        <w:tc>
          <w:tcPr>
            <w:tcW w:w="13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周期间隔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1-9999</w:t>
            </w:r>
          </w:p>
        </w:tc>
        <w:tc>
          <w:tcPr>
            <w:tcW w:w="13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脉冲阀数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n(n根据型号设定）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n(n根据型号设定）</w:t>
            </w:r>
          </w:p>
        </w:tc>
        <w:tc>
          <w:tcPr>
            <w:tcW w:w="13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开机功能</w:t>
            </w:r>
          </w:p>
        </w:tc>
        <w:tc>
          <w:tcPr>
            <w:tcW w:w="13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75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1:开机即运行；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2:开机延时喷吹，延时时间为1分钟；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3:压差模式，条件满足按照模式1运行，条件不满足喷吹到本周期完毕。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p>
      <w:pP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  <w:t>三、各型号端子接线图</w:t>
      </w:r>
    </w:p>
    <w:p>
      <w:pPr>
        <w:ind w:firstLine="360" w:firstLineChars="200"/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●</w:t>
      </w:r>
      <w:r>
        <w:rPr>
          <w:rFonts w:hint="eastAsia"/>
          <w:lang w:val="en-US" w:eastAsia="zh-CN"/>
        </w:rPr>
        <w:t>QHK-ZX-12A/D接线端子图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62605" cy="1314450"/>
            <wp:effectExtent l="0" t="0" r="635" b="11430"/>
            <wp:docPr id="8" name="图片 8" descr="E:\杨倩\公司资料\说明书\QHK-ZX-12D说明书Word版\ZX12接线图.jpgZX12接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杨倩\公司资料\说明书\QHK-ZX-12D说明书Word版\ZX12接线图.jpgZX12接线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  <w:rPr>
          <w:rFonts w:hint="eastAsia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●</w:t>
      </w:r>
      <w:r>
        <w:rPr>
          <w:rFonts w:hint="eastAsia"/>
          <w:lang w:val="en-US" w:eastAsia="zh-CN"/>
        </w:rPr>
        <w:t>QHK-ZX-30A/D接线端子图</w:t>
      </w:r>
    </w:p>
    <w:p>
      <w:pPr>
        <w:ind w:firstLine="420" w:firstLineChars="200"/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10000" cy="1078865"/>
            <wp:effectExtent l="0" t="0" r="0" b="3175"/>
            <wp:docPr id="1" name="图片 1" descr="ZX30接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X30接线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  <w:t>四、在线控制仪接线标识说明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1、【电源】为交流220V输入端子（L,N）；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2、【公共端】为阀用公共端； 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579120</wp:posOffset>
                </wp:positionV>
                <wp:extent cx="4184015" cy="420370"/>
                <wp:effectExtent l="6350" t="6350" r="15875" b="1524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85" y="5654040"/>
                          <a:ext cx="4184015" cy="420370"/>
                        </a:xfrm>
                        <a:prstGeom prst="round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2pt;margin-top:45.6pt;height:33.1pt;width:329.45pt;z-index:251657216;v-text-anchor:middle;mso-width-relative:page;mso-height-relative:page;" filled="f" stroked="t" coordsize="21600,21600" arcsize="0.166666666666667" o:gfxdata="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+oC4KtcA&#10;AAAJAQAADwAAAAAAAAABACAAAAAiAAAAZHJzL2Rvd25yZXYueG1sUEsBAhQAFAAAAAgAh07iQMhW&#10;JtPLAgAAewUAAA4AAAAAAAAAAQAgAAAAJgEAAGRycy9lMm9Eb2MueG1sUEsFBgAAAAAGAAYAWQEA&#10;AGMGAAAAAA==&#10;">
                <v:fill on="f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t>3、【运行信号】为该型号脉冲控制仪自动运行控制端口，接口类型为干接点。当需要外部控制自动清灰运行时，需将主板上的黑色跳线帽儿断开，短接运行信号两个端子；</w:t>
      </w:r>
    </w:p>
    <w:p>
      <w:pPr>
        <w:ind w:left="357" w:leftChars="170" w:firstLine="0" w:firstLineChars="0"/>
        <w:rPr>
          <w:rFonts w:hint="eastAsia"/>
          <w:lang w:val="en-US" w:eastAsia="zh-CN"/>
        </w:rPr>
      </w:pPr>
      <w:r>
        <w:rPr>
          <w:rFonts w:hint="eastAsia"/>
          <w:color w:val="00B050"/>
          <w:sz w:val="18"/>
          <w:szCs w:val="18"/>
          <w:lang w:val="en-US" w:eastAsia="zh-CN"/>
        </w:rPr>
        <w:t xml:space="preserve">■ </w:t>
      </w:r>
      <w:r>
        <w:rPr>
          <w:rFonts w:hint="eastAsia"/>
          <w:b/>
          <w:bCs/>
          <w:color w:val="00B050"/>
          <w:lang w:val="en-US" w:eastAsia="zh-CN"/>
        </w:rPr>
        <w:t>注意</w:t>
      </w:r>
      <w:r>
        <w:rPr>
          <w:rFonts w:hint="eastAsia"/>
          <w:lang w:val="en-US" w:eastAsia="zh-CN"/>
        </w:rPr>
        <w:t xml:space="preserve"> 电路板上的短接帽为不需要远程控制时的快捷设置方法，在不需要远程时，不需要取下短接帽，也不需要端子短接运行信号。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4、【1～N】为脉冲阀信号输出端子（N标示控制仪输出路数）；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5、【A+ B-】为485通讯接口。(该功能需定制)</w:t>
      </w:r>
    </w:p>
    <w:p>
      <w:pP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  <w:t>五、注意事项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由于线路板及接线端子上工作电压高达220V，操作时手一定要保持干燥且不要接触接线端子和线路，否则，可能导致触电事故；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由于“功能”按钮为微型按钮，操作时应垂直轻按，切忌用力过猛或斜按，否则，很容易损坏按钮。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控制仪周围不应有腐蚀性气体，尽量避开强烈震动、强磁、高温高热场所;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为了保证正常的生产及设备安全，控制路数、脉冲阀数应由专业技术人员进行调整；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控制仪开机信号可以用于设备的远程控制、压差控制、与其它设备联动等功能，有特殊应用时，为确保不因接错线发生设备损坏，请咨询我公司技术人员，指导接线。</w:t>
      </w:r>
    </w:p>
    <w:p>
      <w:pP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</w:pPr>
      <w:r>
        <w:rPr>
          <w:rFonts w:hint="eastAsia" w:ascii="方正正粗黑简体" w:hAnsi="方正正粗黑简体" w:eastAsia="方正正粗黑简体" w:cs="方正正粗黑简体"/>
          <w:color w:val="00B050"/>
          <w:sz w:val="24"/>
          <w:szCs w:val="24"/>
          <w:lang w:eastAsia="zh-CN"/>
        </w:rPr>
        <w:t>六、常见故障及排除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控制仪初次安装使用，应断开负载接线，单独接上电源做空载测试。空载测试正常，带载不正常，应排查接线是否正确。以下情况为控制仪使用一段时间后的故障诊断：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●控制仪上电后，电源指示灯不亮，应检查电源输入是否正常，主板保险管是否熔断，开关电源是否正常等；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●控制仪上电后，数码管显示或按键不正常，可能MCU及外围电路损坏,请立即联系我们的售后人员（15503732851）。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●控制仪上电后，数码管显示和按键输入正常：</w:t>
      </w:r>
    </w:p>
    <w:p>
      <w:pPr>
        <w:ind w:firstLine="210" w:firstLineChars="1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  <w:lang w:eastAsia="zh-CN"/>
        </w:rPr>
        <w:t>各路输出的LED指示灯不亮，电磁阀不动作，可能输出驱动电路损坏；</w:t>
      </w:r>
    </w:p>
    <w:p>
      <w:pPr>
        <w:ind w:firstLine="210" w:firstLineChars="1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  <w:lang w:eastAsia="zh-CN"/>
        </w:rPr>
        <w:t>输出LED指示灯全亮，电磁阀接线特别是公共端接线需要检查；</w:t>
      </w:r>
    </w:p>
    <w:p>
      <w:pPr>
        <w:ind w:firstLine="210" w:firstLineChars="1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  <w:lang w:eastAsia="zh-CN"/>
        </w:rPr>
        <w:t>全部电磁阀工作不正常，检查阀门接线，特别是公共端是否接线正常；</w:t>
      </w:r>
    </w:p>
    <w:p>
      <w:pPr>
        <w:ind w:firstLine="210" w:firstLineChars="1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  <w:lang w:eastAsia="zh-CN"/>
        </w:rPr>
        <w:t>若个别的电磁阀工作不正常，请检查该阀门的接线是否正常；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-914400</wp:posOffset>
            </wp:positionV>
            <wp:extent cx="5293360" cy="7560310"/>
            <wp:effectExtent l="0" t="0" r="10160" b="13970"/>
            <wp:wrapSquare wrapText="bothSides"/>
            <wp:docPr id="9" name="图片 9" descr="E:\杨倩\公司资料\说明书\铁壳控制仪说明书在线\售后服务.jpg售后服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杨倩\公司资料\说明书\铁壳控制仪说明书在线\售后服务.jpg售后服务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4" w:type="default"/>
      <w:pgSz w:w="8392" w:h="11850"/>
      <w:pgMar w:top="1440" w:right="892" w:bottom="1440" w:left="7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禹卫书法行书简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八大山人字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760" w:firstLineChars="3200"/>
      <w:jc w:val="left"/>
      <w:rPr>
        <w:rFonts w:hint="eastAsia" w:ascii="宋体" w:hAnsi="宋体" w:eastAsia="宋体" w:cs="宋体"/>
        <w:i w:val="0"/>
        <w:iCs/>
        <w:sz w:val="18"/>
        <w:szCs w:val="18"/>
        <w:lang w:val="en-US" w:eastAsia="zh-CN"/>
      </w:rPr>
    </w:pPr>
    <w:r>
      <w:rPr>
        <w:rFonts w:hint="eastAsia" w:ascii="禹卫书法行书简体" w:hAnsi="八大山人字体" w:eastAsia="禹卫书法行书简体" w:cs="八大山人字体"/>
        <w:i w:val="0"/>
        <w:iCs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-12065</wp:posOffset>
          </wp:positionV>
          <wp:extent cx="1108710" cy="204470"/>
          <wp:effectExtent l="0" t="0" r="3810" b="8890"/>
          <wp:wrapNone/>
          <wp:docPr id="10" name="图片 1" descr="说明: E:\1-9\公司logo\公司网站上传LOG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 descr="说明: E:\1-9\公司logo\公司网站上传LOG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i w:val="0"/>
        <w:iCs/>
        <w:sz w:val="18"/>
        <w:szCs w:val="18"/>
        <w:lang w:eastAsia="zh-CN"/>
      </w:rPr>
      <w:t>使用说明书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EB047"/>
    <w:multiLevelType w:val="singleLevel"/>
    <w:tmpl w:val="8BBEB0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07A9E"/>
    <w:rsid w:val="176D10DD"/>
    <w:rsid w:val="1BAD1382"/>
    <w:rsid w:val="23C87FB6"/>
    <w:rsid w:val="2A43642C"/>
    <w:rsid w:val="2F907A9E"/>
    <w:rsid w:val="3A3031D5"/>
    <w:rsid w:val="54BD22A6"/>
    <w:rsid w:val="60024A13"/>
    <w:rsid w:val="677C06ED"/>
    <w:rsid w:val="6CC870BE"/>
    <w:rsid w:val="7197205E"/>
    <w:rsid w:val="74046822"/>
    <w:rsid w:val="7B5C3992"/>
    <w:rsid w:val="7D866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2020-06-20T00:38:00Z</dcterms:created>
  <dc:creator>杨倩</dc:creator>
  <cp:lastModifiedBy>杨倩</cp:lastModifiedBy>
  <dcterms:modified xsi:type="dcterms:W3CDTF">2020-07-07T03:12:00Z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